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libri" w:cs="Calibri" w:eastAsia="Calibri" w:hAnsi="Calibri"/>
          <w:b w:val="1"/>
          <w:sz w:val="24"/>
          <w:szCs w:val="24"/>
          <w:u w:val="single"/>
        </w:rPr>
      </w:pPr>
      <w:r w:rsidDel="00000000" w:rsidR="00000000" w:rsidRPr="00000000">
        <w:rPr>
          <w:b w:val="1"/>
          <w:sz w:val="24"/>
          <w:szCs w:val="24"/>
        </w:rPr>
        <w:drawing>
          <wp:inline distB="0" distT="0" distL="0" distR="0">
            <wp:extent cx="1054210" cy="943240"/>
            <wp:effectExtent b="0" l="0" r="0" t="0"/>
            <wp:docPr id="5" name="image1.png"/>
            <a:graphic>
              <a:graphicData uri="http://schemas.openxmlformats.org/drawingml/2006/picture">
                <pic:pic>
                  <pic:nvPicPr>
                    <pic:cNvPr id="0" name="image1.png"/>
                    <pic:cNvPicPr preferRelativeResize="0"/>
                  </pic:nvPicPr>
                  <pic:blipFill>
                    <a:blip r:embed="rId7"/>
                    <a:srcRect b="3146" l="0" r="0" t="0"/>
                    <a:stretch>
                      <a:fillRect/>
                    </a:stretch>
                  </pic:blipFill>
                  <pic:spPr>
                    <a:xfrm>
                      <a:off x="0" y="0"/>
                      <a:ext cx="1054210" cy="9432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Ryders Hayes School</w:t>
      </w:r>
    </w:p>
    <w:p w:rsidR="00000000" w:rsidDel="00000000" w:rsidP="00000000" w:rsidRDefault="00000000" w:rsidRPr="00000000" w14:paraId="00000003">
      <w:pPr>
        <w:spacing w:after="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SEND Graduated Response Pathway </w:t>
      </w:r>
    </w:p>
    <w:p w:rsidR="00000000" w:rsidDel="00000000" w:rsidP="00000000" w:rsidRDefault="00000000" w:rsidRPr="00000000" w14:paraId="00000004">
      <w:pPr>
        <w:spacing w:after="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5">
      <w:pPr>
        <w:spacing w:after="0" w:lineRule="auto"/>
        <w:jc w:val="center"/>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The following pathway sets out our approach to identifying children with Special Educational Needs.</w:t>
      </w:r>
      <w:r w:rsidDel="00000000" w:rsidR="00000000" w:rsidRPr="00000000">
        <w:rPr>
          <w:rtl w:val="0"/>
        </w:rPr>
      </w:r>
    </w:p>
    <w:p w:rsidR="00000000" w:rsidDel="00000000" w:rsidP="00000000" w:rsidRDefault="00000000" w:rsidRPr="00000000" w14:paraId="00000006">
      <w:pPr>
        <w:spacing w:after="0" w:lineRule="auto"/>
        <w:jc w:val="center"/>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‘Every teacher is responsible for the teaching and learning of children with Special Educational Needs.’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after="0" w:lineRule="auto"/>
        <w:jc w:val="center"/>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This pathway operates alongside our assessment continuum.</w:t>
      </w:r>
    </w:p>
    <w:p w:rsidR="00000000" w:rsidDel="00000000" w:rsidP="00000000" w:rsidRDefault="00000000" w:rsidRPr="00000000" w14:paraId="00000008">
      <w:pPr>
        <w:spacing w:after="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Definitions:</w:t>
      </w:r>
    </w:p>
    <w:p w:rsidR="00000000" w:rsidDel="00000000" w:rsidP="00000000" w:rsidRDefault="00000000" w:rsidRPr="00000000" w14:paraId="0000000A">
      <w:pPr>
        <w:spacing w:after="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Special Educational Needs:</w:t>
      </w:r>
    </w:p>
    <w:p w:rsidR="00000000" w:rsidDel="00000000" w:rsidP="00000000" w:rsidRDefault="00000000" w:rsidRPr="00000000" w14:paraId="0000000B">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provision or training that is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i w:val="1"/>
          <w:sz w:val="24"/>
          <w:szCs w:val="24"/>
          <w:rtl w:val="0"/>
        </w:rPr>
        <w:t xml:space="preserve">additional to, or different from </w:t>
      </w:r>
      <w:r w:rsidDel="00000000" w:rsidR="00000000" w:rsidRPr="00000000">
        <w:rPr>
          <w:rFonts w:ascii="Calibri" w:cs="Calibri" w:eastAsia="Calibri" w:hAnsi="Calibri"/>
          <w:sz w:val="24"/>
          <w:szCs w:val="24"/>
          <w:rtl w:val="0"/>
        </w:rPr>
        <w:t xml:space="preserve">‘that is generally for others of the same age in a mainstream setting in England.</w:t>
      </w:r>
    </w:p>
    <w:p w:rsidR="00000000" w:rsidDel="00000000" w:rsidP="00000000" w:rsidRDefault="00000000" w:rsidRPr="00000000" w14:paraId="0000000C">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Disability:</w:t>
      </w:r>
    </w:p>
    <w:p w:rsidR="00000000" w:rsidDel="00000000" w:rsidP="00000000" w:rsidRDefault="00000000" w:rsidRPr="00000000" w14:paraId="0000000E">
      <w:pPr>
        <w:spacing w:after="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Many children and young people who have SEN may have a disability under the Equality Act 2010 – that </w:t>
      </w:r>
      <w:r w:rsidDel="00000000" w:rsidR="00000000" w:rsidRPr="00000000">
        <w:rPr>
          <w:rFonts w:ascii="Calibri" w:cs="Calibri" w:eastAsia="Calibri" w:hAnsi="Calibri"/>
          <w:i w:val="1"/>
          <w:sz w:val="24"/>
          <w:szCs w:val="24"/>
          <w:rtl w:val="0"/>
        </w:rPr>
        <w:t xml:space="preserve">is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w:t>
      </w:r>
    </w:p>
    <w:p w:rsidR="00000000" w:rsidDel="00000000" w:rsidP="00000000" w:rsidRDefault="00000000" w:rsidRPr="00000000" w14:paraId="0000000F">
      <w:pPr>
        <w:spacing w:after="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SEN Code of Practice for Special Educational Needs 2014</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Transition to the Special Needs Code of Practice begun in 2014. This revised process puts the child at the centre of the planning and provision for Special Educational Needs. Gathering views from the pupils and parents school coordinates a plan to address the needs of a child. </w:t>
      </w:r>
    </w:p>
    <w:p w:rsidR="00000000" w:rsidDel="00000000" w:rsidP="00000000" w:rsidRDefault="00000000" w:rsidRPr="00000000" w14:paraId="00000012">
      <w:pPr>
        <w:spacing w:after="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School based support</w:t>
      </w:r>
    </w:p>
    <w:p w:rsidR="00000000" w:rsidDel="00000000" w:rsidP="00000000" w:rsidRDefault="00000000" w:rsidRPr="00000000" w14:paraId="0000001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who have been identified to extra support is needed. Plan put in place to reach individual targets for child and reviewed termly with class teacher and parents. This plan is called an ‘Assess, Plan, Do and Review’. At Ryders Hayes School we capture this document as a PLP – Personal Learning Plan.</w:t>
      </w:r>
    </w:p>
    <w:p w:rsidR="00000000" w:rsidDel="00000000" w:rsidP="00000000" w:rsidRDefault="00000000" w:rsidRPr="00000000" w14:paraId="0000001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may also access support from agencies outside school such as Educational Psychology or Speech and Language Therapy. </w:t>
      </w:r>
    </w:p>
    <w:p w:rsidR="00000000" w:rsidDel="00000000" w:rsidP="00000000" w:rsidRDefault="00000000" w:rsidRPr="00000000" w14:paraId="0000001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Education Health and Care Plan</w:t>
      </w:r>
    </w:p>
    <w:p w:rsidR="00000000" w:rsidDel="00000000" w:rsidP="00000000" w:rsidRDefault="00000000" w:rsidRPr="00000000" w14:paraId="0000001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Educational Health and Care plans support children from birth up until the age of 25 years.  Children may receive support and interventions from outside agencies and a PLP will be needed to outline how we will support the pupil’s needs. Termly reviews with take place with the SENco, class teacher and parents. Any other adults involved supporting the pupil will also be invited to this review.</w:t>
      </w:r>
    </w:p>
    <w:p w:rsidR="00000000" w:rsidDel="00000000" w:rsidP="00000000" w:rsidRDefault="00000000" w:rsidRPr="00000000" w14:paraId="00000019">
      <w:pPr>
        <w:spacing w:after="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sectPr>
      <w:pgSz w:h="16838" w:w="11906" w:orient="portrait"/>
      <w:pgMar w:bottom="426" w:top="568"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5ea22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315F"/>
  </w:style>
  <w:style w:type="paragraph" w:styleId="Heading1">
    <w:name w:val="heading 1"/>
    <w:basedOn w:val="Normal"/>
    <w:next w:val="Normal"/>
    <w:link w:val="Heading1Char"/>
    <w:uiPriority w:val="9"/>
    <w:qFormat w:val="1"/>
    <w:rsid w:val="00393A80"/>
    <w:pPr>
      <w:keepNext w:val="1"/>
      <w:keepLines w:val="1"/>
      <w:spacing w:after="0" w:before="480"/>
      <w:outlineLvl w:val="0"/>
    </w:pPr>
    <w:rPr>
      <w:rFonts w:asciiTheme="majorHAnsi" w:cstheme="majorBidi" w:eastAsiaTheme="majorEastAsia" w:hAnsiTheme="majorHAnsi"/>
      <w:b w:val="1"/>
      <w:bCs w:val="1"/>
      <w:color w:val="5ea226"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21F6C"/>
    <w:pPr>
      <w:ind w:left="720"/>
      <w:contextualSpacing w:val="1"/>
    </w:pPr>
  </w:style>
  <w:style w:type="paragraph" w:styleId="Header">
    <w:name w:val="header"/>
    <w:basedOn w:val="Normal"/>
    <w:link w:val="HeaderChar"/>
    <w:uiPriority w:val="99"/>
    <w:unhideWhenUsed w:val="1"/>
    <w:rsid w:val="00E30C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0CF8"/>
  </w:style>
  <w:style w:type="paragraph" w:styleId="Footer">
    <w:name w:val="footer"/>
    <w:basedOn w:val="Normal"/>
    <w:link w:val="FooterChar"/>
    <w:uiPriority w:val="99"/>
    <w:unhideWhenUsed w:val="1"/>
    <w:rsid w:val="00E30C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0CF8"/>
  </w:style>
  <w:style w:type="paragraph" w:styleId="BalloonText">
    <w:name w:val="Balloon Text"/>
    <w:basedOn w:val="Normal"/>
    <w:link w:val="BalloonTextChar"/>
    <w:uiPriority w:val="99"/>
    <w:semiHidden w:val="1"/>
    <w:unhideWhenUsed w:val="1"/>
    <w:rsid w:val="00883A9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83A95"/>
    <w:rPr>
      <w:rFonts w:ascii="Tahoma" w:cs="Tahoma" w:hAnsi="Tahoma"/>
      <w:sz w:val="16"/>
      <w:szCs w:val="16"/>
    </w:rPr>
  </w:style>
  <w:style w:type="paragraph" w:styleId="Heading11" w:customStyle="1">
    <w:name w:val="Heading 11"/>
    <w:next w:val="Heading1"/>
    <w:qFormat w:val="1"/>
    <w:rsid w:val="00393A80"/>
    <w:pPr>
      <w:keepNext w:val="1"/>
      <w:spacing w:after="0" w:line="240" w:lineRule="auto"/>
      <w:outlineLvl w:val="0"/>
    </w:pPr>
    <w:rPr>
      <w:rFonts w:ascii="Helvetica" w:cs="Times New Roman" w:eastAsia="Arial Unicode MS" w:hAnsi="Helvetica"/>
      <w:b w:val="1"/>
      <w:color w:val="000000"/>
      <w:sz w:val="36"/>
      <w:szCs w:val="20"/>
    </w:rPr>
  </w:style>
  <w:style w:type="paragraph" w:styleId="Body1" w:customStyle="1">
    <w:name w:val="Body 1"/>
    <w:rsid w:val="00393A80"/>
    <w:pPr>
      <w:spacing w:after="0" w:line="240" w:lineRule="auto"/>
    </w:pPr>
    <w:rPr>
      <w:rFonts w:ascii="Helvetica" w:cs="Times New Roman" w:eastAsia="Arial Unicode MS" w:hAnsi="Helvetica"/>
      <w:color w:val="000000"/>
      <w:sz w:val="24"/>
      <w:szCs w:val="20"/>
    </w:rPr>
  </w:style>
  <w:style w:type="paragraph" w:styleId="BodyBullet" w:customStyle="1">
    <w:name w:val="Body Bullet"/>
    <w:rsid w:val="00393A80"/>
    <w:pPr>
      <w:spacing w:after="0" w:line="240" w:lineRule="auto"/>
    </w:pPr>
    <w:rPr>
      <w:rFonts w:ascii="Helvetica" w:cs="Times New Roman" w:eastAsia="Arial Unicode MS" w:hAnsi="Helvetica"/>
      <w:color w:val="000000"/>
      <w:sz w:val="24"/>
      <w:szCs w:val="20"/>
    </w:rPr>
  </w:style>
  <w:style w:type="paragraph" w:styleId="Bullet" w:customStyle="1">
    <w:name w:val="Bullet"/>
    <w:rsid w:val="00393A80"/>
    <w:pPr>
      <w:spacing w:after="0" w:line="240" w:lineRule="auto"/>
      <w:ind w:left="720" w:hanging="360"/>
    </w:pPr>
    <w:rPr>
      <w:rFonts w:ascii="Times New Roman" w:cs="Times New Roman" w:eastAsia="Times New Roman" w:hAnsi="Times New Roman"/>
      <w:sz w:val="20"/>
      <w:szCs w:val="20"/>
    </w:rPr>
  </w:style>
  <w:style w:type="character" w:styleId="Heading1Char" w:customStyle="1">
    <w:name w:val="Heading 1 Char"/>
    <w:basedOn w:val="DefaultParagraphFont"/>
    <w:link w:val="Heading1"/>
    <w:uiPriority w:val="9"/>
    <w:rsid w:val="00393A80"/>
    <w:rPr>
      <w:rFonts w:asciiTheme="majorHAnsi" w:cstheme="majorBidi" w:eastAsiaTheme="majorEastAsia" w:hAnsiTheme="majorHAnsi"/>
      <w:b w:val="1"/>
      <w:bCs w:val="1"/>
      <w:color w:val="5ea226" w:themeColor="accent1" w:themeShade="0000BF"/>
      <w:sz w:val="28"/>
      <w:szCs w:val="28"/>
    </w:rPr>
  </w:style>
  <w:style w:type="table" w:styleId="TableGrid">
    <w:name w:val="Table Grid"/>
    <w:basedOn w:val="TableNormal"/>
    <w:uiPriority w:val="59"/>
    <w:rsid w:val="00480B3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Rushall Bright">
      <a:dk1>
        <a:sysClr val="windowText" lastClr="000000"/>
      </a:dk1>
      <a:lt1>
        <a:sysClr val="window" lastClr="FFFFFF"/>
      </a:lt1>
      <a:dk2>
        <a:srgbClr val="4E5B6F"/>
      </a:dk2>
      <a:lt2>
        <a:srgbClr val="D6ECFF"/>
      </a:lt2>
      <a:accent1>
        <a:srgbClr val="7FD13B"/>
      </a:accent1>
      <a:accent2>
        <a:srgbClr val="EA157A"/>
      </a:accent2>
      <a:accent3>
        <a:srgbClr val="7030A0"/>
      </a:accent3>
      <a:accent4>
        <a:srgbClr val="FEB80A"/>
      </a:accent4>
      <a:accent5>
        <a:srgbClr val="00ADDC"/>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IGofegA+lFmv6IhvDgAosH3azw==">AMUW2mVMEbPpQmBW7PLso+740GkxQu9vkKKpveZXpX86kmCr+q/zGevRAcHX7PEb7UQER3H3kmyxUhhJkA6GbUDBfk1u8sJ7+V5jRTJP6XT3OtPOGEkQjrX8dydmmPN2wXZWQ7Fogsxu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2020-07-06T20:49:00Z</dcterms:created>
  <dc:creator>Beccie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0x0101006ED2AA091AD50145B116F13BFF0DA652</vt:lpwstr>
  </property>
</Properties>
</file>